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Aviso de Privacidad simplificado de Comercio</w:t>
      </w:r>
    </w:p>
    <w:p w:rsidR="00000000" w:rsidDel="00000000" w:rsidP="00000000" w:rsidRDefault="00000000" w:rsidRPr="00000000" w14:paraId="00000001">
      <w:pPr>
        <w:contextualSpacing w:val="0"/>
        <w:jc w:val="center"/>
        <w:rPr>
          <w:rFonts w:ascii="Arial" w:cs="Arial" w:eastAsia="Arial" w:hAnsi="Arial"/>
          <w:b w:val="1"/>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02">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Honorable Ayuntamiento de Pueblo Viejo, Veracruz, con domicilio en Abasolo sin número esquina con Lerdo de Tejada, Zona Centro Cd. Cuauhtémoc, Veracruz, Código Postal 92030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000000" w:rsidDel="00000000" w:rsidP="00000000" w:rsidRDefault="00000000" w:rsidRPr="00000000" w14:paraId="00000003">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datos personales que recabamos de usted serán para las siguientes finalidades:</w:t>
      </w:r>
    </w:p>
    <w:p w:rsidR="00000000" w:rsidDel="00000000" w:rsidP="00000000" w:rsidRDefault="00000000" w:rsidRPr="00000000" w14:paraId="00000004">
      <w:pPr>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Elaboración de Cédulas de empadronamiento comercial, aperturas, refrendos y permisos de ambulantaje.</w:t>
      </w:r>
    </w:p>
    <w:p w:rsidR="00000000" w:rsidDel="00000000" w:rsidP="00000000" w:rsidRDefault="00000000" w:rsidRPr="00000000" w14:paraId="00000005">
      <w:pPr>
        <w:shd w:fill="ffffff" w:val="clea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 informamos que sus datos personales únicamente serán utilizados para fines estadísticos y no se realizarán transferencias de los datos recabados. Así mismo se le informa que sus datos son resguardados y tratados de acuerdo con la legislación vigente en el Estado. Los responsables de los Sistemas de datos Personales son los titulares de todas las áreas administrativas y el encargado del tratamiento de los datos es el Servidor Público que se encarga de recabar los mismos Datos. </w:t>
      </w:r>
    </w:p>
    <w:p w:rsidR="00000000" w:rsidDel="00000000" w:rsidP="00000000" w:rsidRDefault="00000000" w:rsidRPr="00000000" w14:paraId="00000006">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7">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mayor información acerca del tratamiento y de los derechos que puede hacer valer, Usted puede consultar el Aviso de Privacidad Integral a través de la dirección electrónica </w:t>
      </w:r>
      <w:hyperlink r:id="rId6">
        <w:r w:rsidDel="00000000" w:rsidR="00000000" w:rsidRPr="00000000">
          <w:rPr>
            <w:rFonts w:ascii="Arial" w:cs="Arial" w:eastAsia="Arial" w:hAnsi="Arial"/>
            <w:color w:val="0563c1"/>
            <w:sz w:val="24"/>
            <w:szCs w:val="24"/>
            <w:u w:val="single"/>
            <w:rtl w:val="0"/>
          </w:rPr>
          <w:t xml:space="preserve">http://www.puebloviejo.gob.mx</w:t>
        </w:r>
      </w:hyperlink>
      <w:r w:rsidDel="00000000" w:rsidR="00000000" w:rsidRPr="00000000">
        <w:rPr>
          <w:rFonts w:ascii="Arial" w:cs="Arial" w:eastAsia="Arial" w:hAnsi="Arial"/>
          <w:sz w:val="24"/>
          <w:szCs w:val="24"/>
          <w:rtl w:val="0"/>
        </w:rPr>
        <w:t xml:space="preserve"> en la sección </w:t>
      </w:r>
      <w:r w:rsidDel="00000000" w:rsidR="00000000" w:rsidRPr="00000000">
        <w:rPr>
          <w:rFonts w:ascii="Arial" w:cs="Arial" w:eastAsia="Arial" w:hAnsi="Arial"/>
          <w:b w:val="1"/>
          <w:rtl w:val="0"/>
        </w:rPr>
        <w:t xml:space="preserve">AVISOS DE PRIVACIDAD</w:t>
      </w: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uebloviejo.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