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7D7" w:rsidRDefault="00747B07">
      <w:pPr>
        <w:shd w:val="clear" w:color="auto" w:fill="FFFFFF"/>
        <w:spacing w:line="276" w:lineRule="auto"/>
        <w:ind w:right="240"/>
        <w:rPr>
          <w:rFonts w:ascii="Arial" w:eastAsia="Arial" w:hAnsi="Arial" w:cs="Arial"/>
          <w:b/>
          <w:sz w:val="20"/>
          <w:szCs w:val="20"/>
        </w:rPr>
      </w:pPr>
      <w:r>
        <w:rPr>
          <w:rFonts w:ascii="Arial" w:eastAsia="Arial" w:hAnsi="Arial" w:cs="Arial"/>
          <w:b/>
          <w:sz w:val="20"/>
          <w:szCs w:val="20"/>
        </w:rPr>
        <w:t xml:space="preserve">                                        </w:t>
      </w:r>
    </w:p>
    <w:p w:rsidR="00FC57D7" w:rsidRDefault="00747B07" w:rsidP="0092151A">
      <w:pPr>
        <w:shd w:val="clear" w:color="auto" w:fill="FFFFFF"/>
        <w:spacing w:line="276" w:lineRule="auto"/>
        <w:ind w:right="240"/>
        <w:jc w:val="center"/>
        <w:rPr>
          <w:rFonts w:ascii="Arial" w:eastAsia="Arial" w:hAnsi="Arial" w:cs="Arial"/>
          <w:b/>
          <w:sz w:val="26"/>
          <w:szCs w:val="26"/>
        </w:rPr>
      </w:pPr>
      <w:r>
        <w:rPr>
          <w:rFonts w:ascii="Arial" w:eastAsia="Arial" w:hAnsi="Arial" w:cs="Arial"/>
          <w:b/>
          <w:sz w:val="26"/>
          <w:szCs w:val="26"/>
        </w:rPr>
        <w:t>Aviso de Privacidad simplificado de Asuntos Jurídicos</w:t>
      </w:r>
      <w:bookmarkStart w:id="0" w:name="_GoBack"/>
      <w:bookmarkEnd w:id="0"/>
    </w:p>
    <w:p w:rsidR="00FC57D7" w:rsidRDefault="00747B07">
      <w:pPr>
        <w:jc w:val="both"/>
        <w:rPr>
          <w:rFonts w:ascii="Arial" w:eastAsia="Arial" w:hAnsi="Arial" w:cs="Arial"/>
          <w:sz w:val="24"/>
          <w:szCs w:val="24"/>
        </w:rPr>
      </w:pPr>
      <w:r>
        <w:rPr>
          <w:rFonts w:ascii="Arial" w:eastAsia="Arial" w:hAnsi="Arial" w:cs="Arial"/>
          <w:sz w:val="24"/>
          <w:szCs w:val="24"/>
        </w:rPr>
        <w:t>El Honorable Ayuntamiento de Pueblo Viejo, Veracruz, con domicilio en Abasolo sin número esquina con Lerdo de Tejada, Zona Centro Ciudad Cuauhtémoc, Veracruz, Código Postal 92030 es el responsable del tratamiento de los datos personales que nos proporcione</w:t>
      </w:r>
      <w:r>
        <w:rPr>
          <w:rFonts w:ascii="Arial" w:eastAsia="Arial" w:hAnsi="Arial" w:cs="Arial"/>
          <w:sz w:val="24"/>
          <w:szCs w:val="24"/>
        </w:rPr>
        <w:t>, los cuales serán protegidos conforme a lo dispuesto por la Ley 316 de Protección de Datos Personales en Posesión de Sujetos Obligados para el Estado de Veracruz, y demás normatividad que resulte aplicable.</w:t>
      </w:r>
    </w:p>
    <w:p w:rsidR="00FC57D7" w:rsidRDefault="00FC57D7">
      <w:pPr>
        <w:jc w:val="both"/>
        <w:rPr>
          <w:rFonts w:ascii="Arial" w:eastAsia="Arial" w:hAnsi="Arial" w:cs="Arial"/>
          <w:sz w:val="24"/>
          <w:szCs w:val="24"/>
        </w:rPr>
      </w:pPr>
    </w:p>
    <w:p w:rsidR="00FC57D7" w:rsidRDefault="00747B07">
      <w:pPr>
        <w:jc w:val="both"/>
        <w:rPr>
          <w:rFonts w:ascii="Arial" w:eastAsia="Arial" w:hAnsi="Arial" w:cs="Arial"/>
          <w:sz w:val="24"/>
          <w:szCs w:val="24"/>
        </w:rPr>
      </w:pPr>
      <w:r>
        <w:rPr>
          <w:rFonts w:ascii="Arial" w:eastAsia="Arial" w:hAnsi="Arial" w:cs="Arial"/>
          <w:sz w:val="24"/>
          <w:szCs w:val="24"/>
        </w:rPr>
        <w:t>Los datos personales que recabamos de usted ser</w:t>
      </w:r>
      <w:r>
        <w:rPr>
          <w:rFonts w:ascii="Arial" w:eastAsia="Arial" w:hAnsi="Arial" w:cs="Arial"/>
          <w:sz w:val="24"/>
          <w:szCs w:val="24"/>
        </w:rPr>
        <w:t>án para las siguientes finalidades:</w:t>
      </w:r>
    </w:p>
    <w:p w:rsidR="00FC57D7" w:rsidRDefault="00747B07">
      <w:pPr>
        <w:jc w:val="both"/>
        <w:rPr>
          <w:rFonts w:ascii="Arial" w:eastAsia="Arial" w:hAnsi="Arial" w:cs="Arial"/>
          <w:b/>
          <w:sz w:val="24"/>
          <w:szCs w:val="24"/>
        </w:rPr>
      </w:pPr>
      <w:bookmarkStart w:id="1" w:name="_heading=h.gjdgxs" w:colFirst="0" w:colLast="0"/>
      <w:bookmarkEnd w:id="1"/>
      <w:r>
        <w:rPr>
          <w:rFonts w:ascii="Arial" w:eastAsia="Arial" w:hAnsi="Arial" w:cs="Arial"/>
          <w:b/>
          <w:sz w:val="24"/>
          <w:szCs w:val="24"/>
        </w:rPr>
        <w:t>Asistencias Jurídicas, Juicios Laborales.</w:t>
      </w:r>
    </w:p>
    <w:p w:rsidR="00FC57D7" w:rsidRDefault="00FC57D7">
      <w:pPr>
        <w:jc w:val="both"/>
        <w:rPr>
          <w:rFonts w:ascii="Arial" w:eastAsia="Arial" w:hAnsi="Arial" w:cs="Arial"/>
          <w:sz w:val="24"/>
          <w:szCs w:val="24"/>
        </w:rPr>
      </w:pPr>
    </w:p>
    <w:p w:rsidR="00FC57D7" w:rsidRDefault="00747B07">
      <w:pPr>
        <w:jc w:val="both"/>
        <w:rPr>
          <w:rFonts w:ascii="Arial" w:eastAsia="Arial" w:hAnsi="Arial" w:cs="Arial"/>
          <w:sz w:val="24"/>
          <w:szCs w:val="24"/>
        </w:rPr>
      </w:pPr>
      <w:r>
        <w:rPr>
          <w:rFonts w:ascii="Arial" w:eastAsia="Arial" w:hAnsi="Arial" w:cs="Arial"/>
          <w:sz w:val="24"/>
          <w:szCs w:val="24"/>
        </w:rPr>
        <w:t>Le informamos que sus datos personales son compartidos con las personas, empresas, organizaciones y autoridades distintas al responsable, y para los fines que se describen a con</w:t>
      </w:r>
      <w:r>
        <w:rPr>
          <w:rFonts w:ascii="Arial" w:eastAsia="Arial" w:hAnsi="Arial" w:cs="Arial"/>
          <w:sz w:val="24"/>
          <w:szCs w:val="24"/>
        </w:rPr>
        <w:t>tinuación:</w:t>
      </w:r>
    </w:p>
    <w:tbl>
      <w:tblPr>
        <w:tblStyle w:val="a2"/>
        <w:tblW w:w="8750" w:type="dxa"/>
        <w:jc w:val="center"/>
        <w:tblInd w:w="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4193"/>
        <w:gridCol w:w="1659"/>
        <w:gridCol w:w="2898"/>
      </w:tblGrid>
      <w:tr w:rsidR="00FC57D7">
        <w:trPr>
          <w:trHeight w:val="320"/>
          <w:jc w:val="center"/>
        </w:trPr>
        <w:tc>
          <w:tcPr>
            <w:tcW w:w="4193" w:type="dxa"/>
            <w:tcBorders>
              <w:top w:val="single" w:sz="6" w:space="0" w:color="000000"/>
              <w:left w:val="single" w:sz="6" w:space="0" w:color="000000"/>
              <w:bottom w:val="single" w:sz="6" w:space="0" w:color="000000"/>
              <w:right w:val="single" w:sz="6" w:space="0" w:color="000000"/>
            </w:tcBorders>
            <w:shd w:val="clear" w:color="auto" w:fill="auto"/>
          </w:tcPr>
          <w:p w:rsidR="00FC57D7" w:rsidRDefault="00747B07">
            <w:pPr>
              <w:rPr>
                <w:rFonts w:ascii="Arial" w:eastAsia="Arial" w:hAnsi="Arial" w:cs="Arial"/>
                <w:sz w:val="24"/>
                <w:szCs w:val="24"/>
              </w:rPr>
            </w:pPr>
            <w:r>
              <w:rPr>
                <w:rFonts w:ascii="Arial" w:eastAsia="Arial" w:hAnsi="Arial" w:cs="Arial"/>
                <w:b/>
                <w:sz w:val="24"/>
                <w:szCs w:val="24"/>
              </w:rPr>
              <w:t>Destinatario de los datos personales</w:t>
            </w:r>
          </w:p>
        </w:tc>
        <w:tc>
          <w:tcPr>
            <w:tcW w:w="1659" w:type="dxa"/>
            <w:tcBorders>
              <w:top w:val="single" w:sz="6" w:space="0" w:color="000000"/>
              <w:left w:val="single" w:sz="6" w:space="0" w:color="000000"/>
              <w:bottom w:val="single" w:sz="6" w:space="0" w:color="000000"/>
              <w:right w:val="single" w:sz="6" w:space="0" w:color="000000"/>
            </w:tcBorders>
          </w:tcPr>
          <w:p w:rsidR="00FC57D7" w:rsidRDefault="00747B07">
            <w:pPr>
              <w:jc w:val="both"/>
              <w:rPr>
                <w:rFonts w:ascii="Arial" w:eastAsia="Arial" w:hAnsi="Arial" w:cs="Arial"/>
                <w:b/>
                <w:sz w:val="24"/>
                <w:szCs w:val="24"/>
              </w:rPr>
            </w:pPr>
            <w:r>
              <w:rPr>
                <w:rFonts w:ascii="Arial" w:eastAsia="Arial" w:hAnsi="Arial" w:cs="Arial"/>
                <w:b/>
                <w:sz w:val="24"/>
                <w:szCs w:val="24"/>
              </w:rPr>
              <w:t>País</w:t>
            </w:r>
          </w:p>
        </w:tc>
        <w:tc>
          <w:tcPr>
            <w:tcW w:w="2898" w:type="dxa"/>
            <w:tcBorders>
              <w:top w:val="single" w:sz="6" w:space="0" w:color="000000"/>
              <w:left w:val="single" w:sz="6" w:space="0" w:color="000000"/>
              <w:bottom w:val="single" w:sz="6" w:space="0" w:color="000000"/>
              <w:right w:val="single" w:sz="6" w:space="0" w:color="000000"/>
            </w:tcBorders>
            <w:shd w:val="clear" w:color="auto" w:fill="auto"/>
          </w:tcPr>
          <w:p w:rsidR="00FC57D7" w:rsidRDefault="00747B07">
            <w:pPr>
              <w:jc w:val="both"/>
              <w:rPr>
                <w:rFonts w:ascii="Arial" w:eastAsia="Arial" w:hAnsi="Arial" w:cs="Arial"/>
                <w:sz w:val="24"/>
                <w:szCs w:val="24"/>
              </w:rPr>
            </w:pPr>
            <w:r>
              <w:rPr>
                <w:rFonts w:ascii="Arial" w:eastAsia="Arial" w:hAnsi="Arial" w:cs="Arial"/>
                <w:b/>
                <w:sz w:val="24"/>
                <w:szCs w:val="24"/>
              </w:rPr>
              <w:t>Finalidad</w:t>
            </w:r>
          </w:p>
        </w:tc>
      </w:tr>
      <w:tr w:rsidR="00FC57D7">
        <w:trPr>
          <w:trHeight w:val="480"/>
          <w:jc w:val="center"/>
        </w:trPr>
        <w:tc>
          <w:tcPr>
            <w:tcW w:w="4193" w:type="dxa"/>
            <w:tcBorders>
              <w:top w:val="single" w:sz="6" w:space="0" w:color="000000"/>
              <w:left w:val="single" w:sz="6" w:space="0" w:color="000000"/>
              <w:bottom w:val="single" w:sz="6" w:space="0" w:color="000000"/>
              <w:right w:val="single" w:sz="6" w:space="0" w:color="000000"/>
            </w:tcBorders>
            <w:shd w:val="clear" w:color="auto" w:fill="auto"/>
          </w:tcPr>
          <w:p w:rsidR="00FC57D7" w:rsidRDefault="00747B07">
            <w:pPr>
              <w:jc w:val="both"/>
              <w:rPr>
                <w:rFonts w:ascii="Arial" w:eastAsia="Arial" w:hAnsi="Arial" w:cs="Arial"/>
                <w:sz w:val="24"/>
                <w:szCs w:val="24"/>
              </w:rPr>
            </w:pPr>
            <w:r>
              <w:rPr>
                <w:rFonts w:ascii="Arial" w:eastAsia="Arial" w:hAnsi="Arial" w:cs="Arial"/>
                <w:sz w:val="24"/>
                <w:szCs w:val="24"/>
              </w:rPr>
              <w:t>Autoridades competentes, Tribunales de lo Familiar, Poder Judicial de La Federación o Juntas de Conciliación y Trabajo.</w:t>
            </w:r>
          </w:p>
        </w:tc>
        <w:tc>
          <w:tcPr>
            <w:tcW w:w="1659" w:type="dxa"/>
            <w:tcBorders>
              <w:top w:val="single" w:sz="6" w:space="0" w:color="000000"/>
              <w:left w:val="single" w:sz="6" w:space="0" w:color="000000"/>
              <w:bottom w:val="single" w:sz="6" w:space="0" w:color="000000"/>
              <w:right w:val="single" w:sz="6" w:space="0" w:color="000000"/>
            </w:tcBorders>
          </w:tcPr>
          <w:p w:rsidR="00FC57D7" w:rsidRDefault="00747B07">
            <w:pPr>
              <w:jc w:val="both"/>
              <w:rPr>
                <w:rFonts w:ascii="Arial" w:eastAsia="Arial" w:hAnsi="Arial" w:cs="Arial"/>
                <w:sz w:val="24"/>
                <w:szCs w:val="24"/>
              </w:rPr>
            </w:pPr>
            <w:r>
              <w:rPr>
                <w:rFonts w:ascii="Arial" w:eastAsia="Arial" w:hAnsi="Arial" w:cs="Arial"/>
                <w:sz w:val="24"/>
                <w:szCs w:val="24"/>
              </w:rPr>
              <w:t>México</w:t>
            </w:r>
          </w:p>
        </w:tc>
        <w:tc>
          <w:tcPr>
            <w:tcW w:w="2898" w:type="dxa"/>
            <w:tcBorders>
              <w:top w:val="single" w:sz="6" w:space="0" w:color="000000"/>
              <w:left w:val="single" w:sz="6" w:space="0" w:color="000000"/>
              <w:bottom w:val="single" w:sz="6" w:space="0" w:color="000000"/>
              <w:right w:val="single" w:sz="6" w:space="0" w:color="000000"/>
            </w:tcBorders>
            <w:shd w:val="clear" w:color="auto" w:fill="auto"/>
          </w:tcPr>
          <w:p w:rsidR="00FC57D7" w:rsidRDefault="00747B07">
            <w:pPr>
              <w:jc w:val="both"/>
              <w:rPr>
                <w:rFonts w:ascii="Arial" w:eastAsia="Arial" w:hAnsi="Arial" w:cs="Arial"/>
                <w:sz w:val="24"/>
                <w:szCs w:val="24"/>
              </w:rPr>
            </w:pPr>
            <w:r>
              <w:rPr>
                <w:rFonts w:ascii="Arial" w:eastAsia="Arial" w:hAnsi="Arial" w:cs="Arial"/>
                <w:sz w:val="24"/>
                <w:szCs w:val="24"/>
              </w:rPr>
              <w:t>Derivado de requerimientos</w:t>
            </w:r>
          </w:p>
          <w:p w:rsidR="00FC57D7" w:rsidRDefault="00747B07">
            <w:pPr>
              <w:jc w:val="both"/>
              <w:rPr>
                <w:rFonts w:ascii="Arial" w:eastAsia="Arial" w:hAnsi="Arial" w:cs="Arial"/>
                <w:sz w:val="24"/>
                <w:szCs w:val="24"/>
              </w:rPr>
            </w:pPr>
            <w:r>
              <w:rPr>
                <w:rFonts w:ascii="Arial" w:eastAsia="Arial" w:hAnsi="Arial" w:cs="Arial"/>
                <w:sz w:val="24"/>
                <w:szCs w:val="24"/>
              </w:rPr>
              <w:t>realizados por la misma.</w:t>
            </w:r>
          </w:p>
        </w:tc>
      </w:tr>
    </w:tbl>
    <w:p w:rsidR="00FC57D7" w:rsidRDefault="00FC57D7">
      <w:pPr>
        <w:jc w:val="both"/>
        <w:rPr>
          <w:rFonts w:ascii="Arial" w:eastAsia="Arial" w:hAnsi="Arial" w:cs="Arial"/>
          <w:sz w:val="24"/>
          <w:szCs w:val="24"/>
        </w:rPr>
      </w:pPr>
    </w:p>
    <w:p w:rsidR="00FC57D7" w:rsidRDefault="00747B07">
      <w:pPr>
        <w:jc w:val="both"/>
        <w:rPr>
          <w:rFonts w:ascii="Arial" w:eastAsia="Arial" w:hAnsi="Arial" w:cs="Arial"/>
          <w:sz w:val="24"/>
          <w:szCs w:val="24"/>
        </w:rPr>
      </w:pPr>
      <w:r>
        <w:rPr>
          <w:rFonts w:ascii="Arial" w:eastAsia="Arial" w:hAnsi="Arial" w:cs="Arial"/>
          <w:sz w:val="24"/>
          <w:szCs w:val="24"/>
        </w:rPr>
        <w:t>Las transferencias marcadas con asterisco (*) requieren de su consentimiento, si usted no manifiesta su negativa para dichas transferencias, se entenderá que ha otorgado su consentimiento.</w:t>
      </w:r>
    </w:p>
    <w:p w:rsidR="00FC57D7" w:rsidRDefault="00FC57D7">
      <w:pPr>
        <w:jc w:val="both"/>
        <w:rPr>
          <w:rFonts w:ascii="Arial" w:eastAsia="Arial" w:hAnsi="Arial" w:cs="Arial"/>
          <w:sz w:val="24"/>
          <w:szCs w:val="24"/>
        </w:rPr>
      </w:pPr>
    </w:p>
    <w:p w:rsidR="00FC57D7" w:rsidRDefault="00747B07">
      <w:pPr>
        <w:jc w:val="both"/>
        <w:rPr>
          <w:rFonts w:ascii="Arial" w:eastAsia="Arial" w:hAnsi="Arial" w:cs="Arial"/>
          <w:b/>
          <w:sz w:val="24"/>
          <w:szCs w:val="24"/>
        </w:rPr>
      </w:pPr>
      <w:r>
        <w:rPr>
          <w:rFonts w:ascii="Arial" w:eastAsia="Arial" w:hAnsi="Arial" w:cs="Arial"/>
          <w:sz w:val="24"/>
          <w:szCs w:val="24"/>
        </w:rPr>
        <w:t>Para mayor información acerca del tratamiento y de los derechos qu</w:t>
      </w:r>
      <w:r>
        <w:rPr>
          <w:rFonts w:ascii="Arial" w:eastAsia="Arial" w:hAnsi="Arial" w:cs="Arial"/>
          <w:sz w:val="24"/>
          <w:szCs w:val="24"/>
        </w:rPr>
        <w:t xml:space="preserve">e puede hacer valer, Usted puede consultar el Aviso de Privacidad Integral a través de la dirección electrónica </w:t>
      </w:r>
      <w:hyperlink r:id="rId7">
        <w:r>
          <w:rPr>
            <w:rFonts w:ascii="Arial" w:eastAsia="Arial" w:hAnsi="Arial" w:cs="Arial"/>
            <w:color w:val="0563C1"/>
            <w:sz w:val="24"/>
            <w:szCs w:val="24"/>
            <w:u w:val="single"/>
          </w:rPr>
          <w:t>http://www.puebloviejo.gob.mx</w:t>
        </w:r>
      </w:hyperlink>
      <w:r>
        <w:rPr>
          <w:rFonts w:ascii="Arial" w:eastAsia="Arial" w:hAnsi="Arial" w:cs="Arial"/>
          <w:sz w:val="24"/>
          <w:szCs w:val="24"/>
        </w:rPr>
        <w:t xml:space="preserve"> en la sección </w:t>
      </w:r>
      <w:r>
        <w:rPr>
          <w:rFonts w:ascii="Arial" w:eastAsia="Arial" w:hAnsi="Arial" w:cs="Arial"/>
          <w:b/>
          <w:sz w:val="24"/>
          <w:szCs w:val="24"/>
        </w:rPr>
        <w:t>AVISOS DE PRIVACIDAD.</w:t>
      </w:r>
    </w:p>
    <w:p w:rsidR="00FC57D7" w:rsidRDefault="00747B07">
      <w:pPr>
        <w:shd w:val="clear" w:color="auto" w:fill="FFFFFF"/>
        <w:spacing w:line="276" w:lineRule="auto"/>
        <w:ind w:right="240"/>
        <w:jc w:val="center"/>
        <w:rPr>
          <w:rFonts w:ascii="Arial" w:eastAsia="Arial" w:hAnsi="Arial" w:cs="Arial"/>
          <w:sz w:val="24"/>
          <w:szCs w:val="24"/>
        </w:rPr>
      </w:pPr>
      <w:r>
        <w:rPr>
          <w:rFonts w:ascii="Arial" w:eastAsia="Arial" w:hAnsi="Arial" w:cs="Arial"/>
          <w:b/>
          <w:sz w:val="24"/>
          <w:szCs w:val="24"/>
        </w:rPr>
        <w:t xml:space="preserve">             </w:t>
      </w:r>
    </w:p>
    <w:p w:rsidR="00FC57D7" w:rsidRDefault="00747B07">
      <w:pPr>
        <w:shd w:val="clear" w:color="auto" w:fill="FFFFFF"/>
        <w:spacing w:line="276" w:lineRule="auto"/>
        <w:ind w:right="240"/>
        <w:rPr>
          <w:rFonts w:ascii="Arial" w:eastAsia="Arial" w:hAnsi="Arial" w:cs="Arial"/>
          <w:sz w:val="24"/>
          <w:szCs w:val="24"/>
        </w:rPr>
      </w:pPr>
      <w:r>
        <w:rPr>
          <w:rFonts w:ascii="Arial" w:eastAsia="Arial" w:hAnsi="Arial" w:cs="Arial"/>
          <w:b/>
          <w:sz w:val="24"/>
          <w:szCs w:val="24"/>
        </w:rPr>
        <w:t xml:space="preserve">                      </w:t>
      </w:r>
    </w:p>
    <w:p w:rsidR="00FC57D7" w:rsidRDefault="00FC57D7">
      <w:pPr>
        <w:spacing w:after="0"/>
      </w:pPr>
    </w:p>
    <w:p w:rsidR="00FC57D7" w:rsidRDefault="00FC57D7">
      <w:pPr>
        <w:spacing w:after="0"/>
      </w:pPr>
    </w:p>
    <w:sectPr w:rsidR="00FC57D7">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B07" w:rsidRDefault="00747B07">
      <w:pPr>
        <w:spacing w:after="0" w:line="240" w:lineRule="auto"/>
      </w:pPr>
      <w:r>
        <w:separator/>
      </w:r>
    </w:p>
  </w:endnote>
  <w:endnote w:type="continuationSeparator" w:id="0">
    <w:p w:rsidR="00747B07" w:rsidRDefault="0074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D7" w:rsidRDefault="00747B0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60288" behindDoc="0" locked="0" layoutInCell="1" hidden="0" allowOverlap="1">
          <wp:simplePos x="0" y="0"/>
          <wp:positionH relativeFrom="column">
            <wp:posOffset>-1013450</wp:posOffset>
          </wp:positionH>
          <wp:positionV relativeFrom="paragraph">
            <wp:posOffset>-400040</wp:posOffset>
          </wp:positionV>
          <wp:extent cx="1933575" cy="1177290"/>
          <wp:effectExtent l="0" t="0" r="0" b="0"/>
          <wp:wrapSquare wrapText="bothSides" distT="0" distB="0" distL="114300" distR="114300"/>
          <wp:docPr id="4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467" t="81431" r="71748" b="3055"/>
                  <a:stretch>
                    <a:fillRect/>
                  </a:stretch>
                </pic:blipFill>
                <pic:spPr>
                  <a:xfrm>
                    <a:off x="0" y="0"/>
                    <a:ext cx="1933575" cy="1177290"/>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column">
            <wp:posOffset>4758690</wp:posOffset>
          </wp:positionH>
          <wp:positionV relativeFrom="paragraph">
            <wp:posOffset>-514338</wp:posOffset>
          </wp:positionV>
          <wp:extent cx="1638300" cy="1182370"/>
          <wp:effectExtent l="0" t="0" r="0" b="0"/>
          <wp:wrapSquare wrapText="bothSides" distT="0" distB="0" distL="114300" distR="114300"/>
          <wp:docPr id="4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69154" t="80363" r="3060" b="4123"/>
                  <a:stretch>
                    <a:fillRect/>
                  </a:stretch>
                </pic:blipFill>
                <pic:spPr>
                  <a:xfrm>
                    <a:off x="0" y="0"/>
                    <a:ext cx="1638300" cy="1182370"/>
                  </a:xfrm>
                  <a:prstGeom prst="rect">
                    <a:avLst/>
                  </a:prstGeom>
                  <a:ln/>
                </pic:spPr>
              </pic:pic>
            </a:graphicData>
          </a:graphic>
        </wp:anchor>
      </w:drawing>
    </w:r>
  </w:p>
  <w:p w:rsidR="00FC57D7" w:rsidRDefault="00747B07">
    <w:pPr>
      <w:pBdr>
        <w:top w:val="nil"/>
        <w:left w:val="nil"/>
        <w:bottom w:val="nil"/>
        <w:right w:val="nil"/>
        <w:between w:val="nil"/>
      </w:pBdr>
      <w:tabs>
        <w:tab w:val="center" w:pos="4419"/>
        <w:tab w:val="right" w:pos="8838"/>
        <w:tab w:val="left" w:pos="6270"/>
      </w:tabs>
      <w:spacing w:after="0" w:line="240" w:lineRule="auto"/>
      <w:rPr>
        <w:color w:val="000000"/>
      </w:rPr>
    </w:pP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B07" w:rsidRDefault="00747B07">
      <w:pPr>
        <w:spacing w:after="0" w:line="240" w:lineRule="auto"/>
      </w:pPr>
      <w:r>
        <w:separator/>
      </w:r>
    </w:p>
  </w:footnote>
  <w:footnote w:type="continuationSeparator" w:id="0">
    <w:p w:rsidR="00747B07" w:rsidRDefault="00747B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7D7" w:rsidRDefault="00747B07">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-880098</wp:posOffset>
          </wp:positionH>
          <wp:positionV relativeFrom="paragraph">
            <wp:posOffset>-316220</wp:posOffset>
          </wp:positionV>
          <wp:extent cx="1533525" cy="1106805"/>
          <wp:effectExtent l="0" t="0" r="0" b="0"/>
          <wp:wrapSquare wrapText="bothSides" distT="0" distB="0" distL="114300" distR="114300"/>
          <wp:docPr id="4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2711" t="1991" r="69504" b="82495"/>
                  <a:stretch>
                    <a:fillRect/>
                  </a:stretch>
                </pic:blipFill>
                <pic:spPr>
                  <a:xfrm>
                    <a:off x="0" y="0"/>
                    <a:ext cx="1533525" cy="110680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5472430</wp:posOffset>
          </wp:positionH>
          <wp:positionV relativeFrom="paragraph">
            <wp:posOffset>-306695</wp:posOffset>
          </wp:positionV>
          <wp:extent cx="829945" cy="1054100"/>
          <wp:effectExtent l="0" t="0" r="0" b="0"/>
          <wp:wrapSquare wrapText="bothSides" distT="0" distB="0" distL="114300" distR="114300"/>
          <wp:docPr id="4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81579" t="1324" r="1161" b="81721"/>
                  <a:stretch>
                    <a:fillRect/>
                  </a:stretch>
                </pic:blipFill>
                <pic:spPr>
                  <a:xfrm>
                    <a:off x="0" y="0"/>
                    <a:ext cx="829945" cy="1054100"/>
                  </a:xfrm>
                  <a:prstGeom prst="rect">
                    <a:avLst/>
                  </a:prstGeom>
                  <a:ln/>
                </pic:spPr>
              </pic:pic>
            </a:graphicData>
          </a:graphic>
        </wp:anchor>
      </w:drawing>
    </w:r>
  </w:p>
  <w:p w:rsidR="00FC57D7" w:rsidRDefault="00FC57D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7D7"/>
    <w:rsid w:val="00747B07"/>
    <w:rsid w:val="0092151A"/>
    <w:rsid w:val="00AC2AE2"/>
    <w:rsid w:val="00FC57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1B6E71-6AE7-477E-A1B4-AE6FD0D0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C6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E0A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0AB2"/>
  </w:style>
  <w:style w:type="paragraph" w:styleId="Piedepgina">
    <w:name w:val="footer"/>
    <w:basedOn w:val="Normal"/>
    <w:link w:val="PiedepginaCar"/>
    <w:uiPriority w:val="99"/>
    <w:unhideWhenUsed/>
    <w:rsid w:val="00BE0A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0AB2"/>
  </w:style>
  <w:style w:type="paragraph" w:styleId="NormalWeb">
    <w:name w:val="Normal (Web)"/>
    <w:basedOn w:val="Normal"/>
    <w:uiPriority w:val="99"/>
    <w:semiHidden/>
    <w:unhideWhenUsed/>
    <w:rsid w:val="00094ED2"/>
    <w:pPr>
      <w:spacing w:before="100" w:beforeAutospacing="1" w:after="100" w:afterAutospacing="1" w:line="240" w:lineRule="auto"/>
    </w:pPr>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E7480C"/>
    <w:rPr>
      <w:color w:val="0563C1" w:themeColor="hyperlink"/>
      <w:u w:val="single"/>
    </w:rPr>
  </w:style>
  <w:style w:type="character" w:styleId="Mencinsinresolver">
    <w:name w:val="Unresolved Mention"/>
    <w:basedOn w:val="Fuentedeprrafopredeter"/>
    <w:uiPriority w:val="99"/>
    <w:semiHidden/>
    <w:unhideWhenUsed/>
    <w:rsid w:val="00E7480C"/>
    <w:rPr>
      <w:color w:val="605E5C"/>
      <w:shd w:val="clear" w:color="auto" w:fill="E1DFDD"/>
    </w:rPr>
  </w:style>
  <w:style w:type="table" w:styleId="Tablaconcuadrcula">
    <w:name w:val="Table Grid"/>
    <w:basedOn w:val="Tablanormal"/>
    <w:uiPriority w:val="39"/>
    <w:rsid w:val="00367C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8"/>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8"/>
    <w:tblPr>
      <w:tblStyleRowBandSize w:val="1"/>
      <w:tblStyleColBandSize w:val="1"/>
      <w:tblCellMar>
        <w:top w:w="15" w:type="dxa"/>
        <w:left w:w="15" w:type="dxa"/>
        <w:bottom w:w="15" w:type="dxa"/>
        <w:right w:w="15" w:type="dxa"/>
      </w:tblCellMar>
    </w:tblPr>
  </w:style>
  <w:style w:type="table" w:customStyle="1" w:styleId="a1">
    <w:basedOn w:val="TableNormal8"/>
    <w:tblPr>
      <w:tblStyleRowBandSize w:val="1"/>
      <w:tblStyleColBandSize w:val="1"/>
      <w:tblCellMar>
        <w:top w:w="60" w:type="dxa"/>
        <w:left w:w="60" w:type="dxa"/>
        <w:bottom w:w="60" w:type="dxa"/>
        <w:right w:w="60" w:type="dxa"/>
      </w:tblCellMar>
    </w:tblPr>
  </w:style>
  <w:style w:type="table" w:customStyle="1" w:styleId="a2">
    <w:basedOn w:val="TableNormal8"/>
    <w:tblPr>
      <w:tblStyleRowBandSize w:val="1"/>
      <w:tblStyleColBandSize w:val="1"/>
      <w:tblCellMar>
        <w:top w:w="60" w:type="dxa"/>
        <w:left w:w="60" w:type="dxa"/>
        <w:bottom w:w="60" w:type="dxa"/>
        <w:right w:w="6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uebloviejo.gob.m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qBudx5OsLBRAP6/VCS988uUlglA==">AMUW2mU/F15iHWMi4flnZWKZ3I4zmgH8iQpOWets7SQimYhvALB8RvUVgcNikI/x4iGtN9vLHh+LPSal4iNvmp6358pjDbHBCGT7aCzeuzbPz8++aJCiOz7W76gX1W7tIgiHKz6ys65f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1380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Conocimiento Adictivo</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dc:creator>
  <cp:lastModifiedBy>User</cp:lastModifiedBy>
  <cp:revision>2</cp:revision>
  <dcterms:created xsi:type="dcterms:W3CDTF">2023-01-25T19:41:00Z</dcterms:created>
  <dcterms:modified xsi:type="dcterms:W3CDTF">2023-01-25T19:41:00Z</dcterms:modified>
</cp:coreProperties>
</file>